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106AC4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8911BA" w:rsidRPr="006546EC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8911BA" w:rsidRPr="006546EC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18.HAFTA</w:t>
            </w:r>
          </w:p>
          <w:p w:rsidR="00776CBA" w:rsidRPr="006546EC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12-16 OCAK 2026</w:t>
            </w:r>
          </w:p>
        </w:tc>
      </w:tr>
    </w:tbl>
    <w:p w:rsidR="00A642CA" w:rsidRDefault="00A642C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B65B4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4. DUYGULAR</w:t>
            </w:r>
          </w:p>
        </w:tc>
      </w:tr>
      <w:tr w:rsidR="005C1ADF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5C1ADF" w:rsidRPr="006546EC" w:rsidRDefault="0016708E" w:rsidP="005C1A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Gönül Bahçesi</w:t>
            </w:r>
            <w:r w:rsidR="005C1ADF"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 xml:space="preserve">  (Serbest Okuma Metni)                                </w:t>
            </w: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 xml:space="preserve">                               </w:t>
            </w:r>
            <w:r w:rsidR="005C1ADF"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 xml:space="preserve">      Tema Sonu Çalışmaları</w:t>
            </w:r>
          </w:p>
        </w:tc>
      </w:tr>
      <w:tr w:rsidR="005C1ADF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5C1ADF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C1ADF" w:rsidRPr="006546EC" w:rsidRDefault="006546EC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  <w:t xml:space="preserve">T.3.3.2. Noktalama işaretlerine dikkat ederek okur. 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  <w:t>T.3.3.7. Görselden/görsellerden hareketle bilmediği kelimelerin anlamlarını tahmin eder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  <w:t>T.3.3.16. Okuduğu metinle ilgili soruları cevaplar.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  <w:t>T.3.3.8. Kelimelerin zıt anlamlılarını bulur.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  <w:t>T.3.3.9. Kelimelerin eş anlamlılarını bulur.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  <w:t>T.3.4.7. Büyük harfleri ve noktalama işaretlerini uygun yerlerde kullanır .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  <w:t>T.3.4.6. Formları yönergelerine uygun doldurur</w:t>
            </w: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br/>
              <w:t>T.3.4.13. Harfleri yapısal özelliklerine uygun yazar</w:t>
            </w:r>
          </w:p>
        </w:tc>
      </w:tr>
      <w:tr w:rsidR="005C1ADF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5C1ADF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5C1ADF" w:rsidRPr="006546EC" w:rsidTr="0016708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5C1ADF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Gönül Bahçesi (Serbest Okuma Vurgu,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5C1ADF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Tema değerlendirmesi yapılır.</w:t>
            </w:r>
          </w:p>
        </w:tc>
      </w:tr>
      <w:tr w:rsidR="005C1ADF" w:rsidRPr="006546EC" w:rsidTr="0016708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5C1ADF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C1ADF" w:rsidRPr="006546EC" w:rsidRDefault="00157F35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16708E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5C1ADF" w:rsidRPr="006546EC" w:rsidTr="0016708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6708E" w:rsidRPr="006546EC" w:rsidRDefault="005C1ADF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16708E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16708E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5C1ADF" w:rsidRPr="006546EC" w:rsidRDefault="0016708E" w:rsidP="0016708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A642CA" w:rsidRPr="0096670C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776CBA" w:rsidRDefault="00776CBA">
      <w:pPr>
        <w:rPr>
          <w:rFonts w:ascii="Tahoma" w:hAnsi="Tahoma" w:cs="Tahoma"/>
          <w:sz w:val="20"/>
          <w:szCs w:val="20"/>
        </w:rPr>
      </w:pPr>
    </w:p>
    <w:p w:rsidR="00A642CA" w:rsidRDefault="00A642CA">
      <w:pPr>
        <w:rPr>
          <w:rFonts w:ascii="Tahoma" w:hAnsi="Tahoma" w:cs="Tahoma"/>
          <w:sz w:val="20"/>
          <w:szCs w:val="20"/>
        </w:rPr>
      </w:pPr>
    </w:p>
    <w:p w:rsidR="00A642CA" w:rsidRDefault="00A642CA">
      <w:pPr>
        <w:rPr>
          <w:rFonts w:ascii="Tahoma" w:hAnsi="Tahoma" w:cs="Tahoma"/>
          <w:sz w:val="20"/>
          <w:szCs w:val="20"/>
        </w:rPr>
      </w:pPr>
    </w:p>
    <w:p w:rsidR="00A642CA" w:rsidRDefault="00A642CA">
      <w:pPr>
        <w:rPr>
          <w:rFonts w:ascii="Tahoma" w:hAnsi="Tahoma" w:cs="Tahoma"/>
          <w:sz w:val="20"/>
          <w:szCs w:val="20"/>
        </w:rPr>
      </w:pPr>
    </w:p>
    <w:p w:rsidR="00A642CA" w:rsidRDefault="00A642CA">
      <w:pPr>
        <w:rPr>
          <w:rFonts w:ascii="Tahoma" w:hAnsi="Tahoma" w:cs="Tahoma"/>
          <w:sz w:val="20"/>
          <w:szCs w:val="20"/>
        </w:rPr>
      </w:pPr>
    </w:p>
    <w:p w:rsidR="00A642CA" w:rsidRDefault="00A642CA">
      <w:pPr>
        <w:rPr>
          <w:rFonts w:ascii="Tahoma" w:hAnsi="Tahoma" w:cs="Tahoma"/>
          <w:sz w:val="20"/>
          <w:szCs w:val="20"/>
        </w:rPr>
      </w:pPr>
    </w:p>
    <w:sectPr w:rsidR="00A642C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06AC4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